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cs" w:ascii="Times New Roman" w:hAnsi="Times New Roman" w:cs="Times New Roman" w:eastAsiaTheme="minorEastAsia"/>
          <w:b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 xml:space="preserve">جامعتنا تنظّم بنجاح مؤتمر تطوير </w:t>
      </w:r>
      <w:r>
        <w:rPr>
          <w:rFonts w:hint="cs" w:ascii="Times New Roman" w:hAnsi="Times New Roman" w:cs="Times New Roman"/>
          <w:b/>
          <w:bCs/>
          <w:sz w:val="32"/>
          <w:szCs w:val="32"/>
          <w:rtl/>
          <w:lang w:eastAsia="zh-CN" w:bidi="ar-SA"/>
        </w:rPr>
        <w:t>الأكفاء</w:t>
      </w:r>
      <w:r>
        <w:rPr>
          <w:rFonts w:hint="cs" w:ascii="Times New Roman" w:hAnsi="Times New Roman" w:cs="Times New Roman"/>
          <w:b/>
          <w:bCs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لخدمة شركات تشونغتشينغ في التوسع نحو الأسواق العالمية لعام 2025</w:t>
      </w:r>
      <w:r>
        <w:rPr>
          <w:rFonts w:hint="cs" w:ascii="Times New Roman" w:hAnsi="Times New Roman" w:cs="Times New Roman"/>
          <w:b/>
          <w:bCs/>
          <w:sz w:val="32"/>
          <w:szCs w:val="32"/>
          <w:rtl/>
          <w:lang w:val="en-US" w:eastAsia="zh-CN" w:bidi="ar-SA"/>
        </w:rPr>
        <w:t xml:space="preserve"> </w:t>
      </w:r>
    </w:p>
    <w:p w14:paraId="7BB72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</w:p>
    <w:p w14:paraId="4877E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  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في 25 أبريل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انطلقت في القاعة الدولية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أنشطة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 "مؤتمر تطوير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الأكفاء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 لخدمة شركات تشونغتشينغ في التوسع نحو الأسواق العالمية لعام  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"،2025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والذي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ي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نظمه كل من مكتب القبول والتوظيف بالجامعة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وكلية الإدارة الدولية والأعمال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وكلية صناعة التجارة الإلكترونية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متعددة اللغات،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كجزء من سلسلة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أنشطة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 الذكرى الـ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75لتأسيس جامعة سيتشوان للدراسات الدولية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.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بالتزامن مع ذلك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أُقيم معرض الوظائف لشركات التوسع الدولي والمعرض المشترك للجامعات الأجنبية في ملعب الجامعة المغطى.</w:t>
      </w:r>
    </w:p>
    <w:p w14:paraId="3537C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  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حضر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الأنشطة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ممثلون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حكوميون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من بينهم يانغ جين فنغ مفتش من الدرجة الأولى بوزارة الإسكان والتنمية الحضرية الريفية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وتشانغ دونغ نائب مدير قسم التعليم العالي بلجنة التعليم البلدية بتشونغتشينغ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ووانغ يوان باحث من المستوى الثالث بإدارة تدفق الموارد البشرية بالوزارة البلدية للموارد البشرية ونائب مدير مكتب المواهب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وشيويه تشيانغ تشيانغ رئيس قسم القانون بالاتحاد البلدي للأعمال التجارية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بالإضافة إلى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ضيوف من قطاع الأعمال مثل جو هونغ فن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رئيس جمعية العمل الإنشائي الصينية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ومنغ تشينغ وي نائب الرئيس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ولياو هونغ هاي رئيس جمعية التجارة الإلكترونية العابرة للحدود بتشونغتشينغ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وتشانغ مينغ رئيس مجلس إدارة شركة بكين جيانيي للاستثمار والتنمية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.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>ك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ما شارك من الجامعة تشو يو السكرتير العام للحزب بالجامعة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وغو تشاو لي نائب السكرتير العام للحزب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ولو بو نائب رئيس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لجامعة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إلى جانب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ممثلين عن الإدارات والكليات وأكثر من 200 فرد من أعضاء هيئة التدريس والطلاب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حيث ناقشوا سبل تطوير مسارات جديدة لتنمية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الأكفاء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في ظل موجة العولمة.</w:t>
      </w:r>
    </w:p>
    <w:p w14:paraId="23674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وقد وفرت شركة "iFLYTEK" معدات ترجمة طورتها ذاتيًا للمؤتمر،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مكَّنت من تحقيق تواصل فعال عبر تحويل الصوت إلى نص فوري وترجمة متعددة اللغات بشكل آني.</w:t>
      </w:r>
    </w:p>
    <w:p w14:paraId="3603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4889500" cy="3311525"/>
            <wp:effectExtent l="0" t="0" r="6350" b="317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5000625" cy="3345180"/>
            <wp:effectExtent l="0" t="0" r="9525" b="762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0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en-US" w:eastAsia="zh-CN" w:bidi="ar-SA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    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ألقى تشو يو كلمة افتتاحية رحّب فيها ترحيبًا حارًا بالضيوف المشاركين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معربًا عن أن الجامعة قد جعلت في السنوات الأخيرة من خدمة الاستراتيجية الوطنية والتنمية الإقليمية مهمةً لها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وركَّزت على تعزيز ثلاثة جوانب رئيسية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: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تكامل التخصصات الأكاديمية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والتعاون بين الصناعة والتعليم في تنمية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الأكفاء،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ودمج الموارد الدولية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.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وأوضح أن كلية الإدارة الدولية والأعمال قد طورت من خلال ابتكار نموذج تعليمي قائم على "التكامل الرباعي والاندماج الثلاثي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،"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نظامًا لتنمية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الأكفاء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 في تخصصات التجارة الإلكترونية متعددة اللغات لخدمة توسع الشركات عالميًا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مما يشكل استكشافًا عمليًا لحل إشكالية النقص الهيكلي في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أكفاء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 هذا المجال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.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وأعرب عن أمله في أن يشكل هذا المؤتمر بدايةً لكتابة فصل جديد من "تقديم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الأكفاء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 كخطوة أولى" في توسع شركات تشونغتشينغ عالميً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ودعمها بقدرات بشرية أقوى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والإسهام بشكل أكبر في بناء نظام تعليمي وطني قوي وتعزيز الانفتاح الدولي للبلاد.</w:t>
      </w:r>
    </w:p>
    <w:p w14:paraId="27196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5267960" cy="3517265"/>
            <wp:effectExtent l="0" t="0" r="8890" b="698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F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  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في مرحلة تسليم اللوائح التذكارية وتوقيع الاتفاقيات التالية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مثّل لياو هونغ هاي جمعية التجارة الإلكترونية العابرة للحدود بتشونغتشينغ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حيث منح جامعة سيتشوان للدراسات الدولية لقب "محطة خدمة دعم توسع شركات تشونغتشينغ العالمية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،"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بينما تلقت غو تشاو لي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ممثلة الجامعة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اللوحة الرسمية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.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يُعد هذا الحدث إيذانًا ببدء تعاون عميق بين الجانبين في معالجة تحديات النقص في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الأكفاء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 المؤهلة وتنفيذ استراتيجية تعزيز صادرات منتجات تشونغتشينغ العالمية.</w:t>
      </w:r>
    </w:p>
    <w:p w14:paraId="26BB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  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عقب ذلك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وقّعت جو هونغ فن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رئيسة جمعية العمل الإنشائي الصينية،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والبروفيسور لو بو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نائب رئيس الجامعة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اتفاقية تعاون مشترك،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حيث ستعمل الجهتان على الجمع بين منصة قطاع الإسكان والتنمية الحضرية التابع للجمعية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وميزات التخصصات اللغوية بالجامعة،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لإنشاء "قاعدة لتنمية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الأكفاء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 اللغوية في قطاع التشييد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،"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دعماً لـ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بناء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"مبادرة الحزام والطريق".</w:t>
      </w:r>
    </w:p>
    <w:p w14:paraId="60BE2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5274310" cy="3548380"/>
            <wp:effectExtent l="0" t="0" r="2540" b="1397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5273040" cy="3620770"/>
            <wp:effectExtent l="0" t="0" r="3810" b="1778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05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 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لم يكتفِ هذا المؤتمر بإرساء منصة تعاونية ثلاثية بين الحكومة والجامعات والشركات لدعم توسع شركات تشونغتشينغ عالميًا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بل استغل فرصة احتفال الجامعة بالذكرى الـ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75لتأسيسها لإبراز التزام جامعة سيتشوان للدراسات الدولية بخدمة الاستراتيجيات الوطنية وتمكين التنمية الإقليمية.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وانطلاقًا من هذا المؤتمر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ستواصل جامعتنا تعزيز التوافق المجتمعي ودفع الابتكار في نماذج تنمية </w:t>
      </w:r>
      <w:r>
        <w:rPr>
          <w:rFonts w:hint="cs" w:ascii="Times New Roman" w:hAnsi="Times New Roman" w:cs="Times New Roman"/>
          <w:sz w:val="32"/>
          <w:szCs w:val="32"/>
          <w:rtl/>
          <w:lang w:eastAsia="zh-CN" w:bidi="ar-SA"/>
        </w:rPr>
        <w:t>الأكفاء</w:t>
      </w:r>
      <w:r>
        <w:rPr>
          <w:rFonts w:hint="cs" w:ascii="Times New Roman" w:hAnsi="Times New Roman" w:cs="Times New Roman"/>
          <w:sz w:val="32"/>
          <w:szCs w:val="32"/>
          <w:rtl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 xml:space="preserve">وتطبيقاتها العملية 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لتقديم دعمٍ بشريٍ أكثر قوةً لشركات تشونغتشينغ في رحلتها نحو الأسواق العالمية.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86352"/>
    <w:rsid w:val="2E1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2025-04-27T10:44:00Z</dcterms:created>
  <dc:creator>同类</dc:creator>
  <cp:lastModifiedBy>同类</cp:lastModifiedBy>
  <dcterms:modified xsi:type="dcterms:W3CDTF">2025-04-28T03:58:31Z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AE827D02279A4783A172D192F70D1929_11</vt:lpwstr>
  </property>
  <property fmtid="{D5CDD505-2E9C-101B-9397-08002B2CF9AE}" pid="4" name="KSOTemplateDocerSaveRecord">
    <vt:lpwstr>eyJoZGlkIjoiYTk2ZTA1MmUzMmRhOWY3ZjYyZjE4ODZhYzRiNDJmNTQiLCJ1c2VySWQiOiIzMTQyMjMwMjMifQ==</vt:lpwstr>
  </property>
</Properties>
</file>